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170 vom 27. Juni 1991</w:t>
      </w:r>
    </w:p>
    <w:p>
      <w:r>
        <w:t>Bundesgericht (BGE), 1991-06-27, FR</w:t>
      </w:r>
    </w:p>
    <w:p>
      <w:r>
        <w:rPr>
          <w:b/>
        </w:rPr>
        <w:t xml:space="preserve">Quelle: </w:t>
      </w:r>
      <w:r>
        <w:t>https://mcp.opencaselaw.ch/entscheid/bge_117 IA 170</w:t>
      </w:r>
    </w:p>
    <w:p>
      <w:r>
        <w:t>FR: BGE 117 IA 170 du 27 juin 1991</w:t>
      </w:r>
    </w:p>
    <w:p>
      <w:r>
        <w:t>IT: BGE 117 IA 170 del 27 giugno 1991</w:t>
      </w:r>
    </w:p>
    <w:p>
      <w:pPr>
        <w:pStyle w:val="Heading2"/>
      </w:pPr>
      <w:r>
        <w:t>Regeste</w:t>
      </w:r>
    </w:p>
    <w:p>
      <w:r>
        <w:t>Regeste Art. 58 Abs. 1 BV und 6 Ziff. 1 EMRK; Anspruch auf einen unparteiischen Richter. 1. Prüfungsbefugnis des Bundesgerichts bei Beschwerden wegen Verletzung der Garantie des verfassungsmässigen Richters (E. 1). 2. Das zwischen zwei Schwägern bestehende Verhältnis ist derart, dass ein Richter sich in den Ausstand zu begeben hat bzw. abgelehnt werden kann, wenn er einen Entscheid zu fällen hat, der Einfluss auf ein Verfahren haben kann, in das der Ehemann der Schwester seiner Frau verwickelt ist; im konkreten Fall ist diese Gefahr umso grösser als der besagte Ehemann der Schwester Anwalt ist und selbst verantwortlich ist für Handlungen, die im Zusammenhang stehen mit solchen, weswegen der beschuldigte Beschwerdeführer in Untersuchungshaft genommen wurde (E. 2 und 3).</w:t>
      </w:r>
    </w:p>
    <w:p>
      <w:pPr>
        <w:pStyle w:val="Heading2"/>
      </w:pPr>
      <w:r>
        <w:t>Erwägungen</w:t>
      </w:r>
    </w:p>
    <w:p>
      <w:r>
        <w:rPr>
          <w:b/>
        </w:rPr>
        <w:t>E. 1</w:t>
      </w:r>
    </w:p>
    <w:p>
      <w:r>
        <w:t>Lorsque, dans un recours de droit public, la violation du droit à un juge équitable est invoquée, le Tribunal fédéral examine uniquement sous l'angle de l'arbitraire la manière dont le droit BGE 117 Ia 170 S. 173 cantonal a été interprété et appliqué. Il apprécie en revanche librement la compatibilité de la procédure cantonale avec les garanties constitutionnelles et conventionnelles ( ATF 112 Ia 292 consid. 2a et les arrêts cités).</w:t>
      </w:r>
    </w:p>
    <w:p>
      <w:r>
        <w:rPr>
          <w:b/>
        </w:rPr>
        <w:t>E. 2</w:t>
      </w:r>
    </w:p>
    <w:p>
      <w:r>
        <w:t>L' art. 53 let. a OJ frib. dispose notamment qu'un magistrat de l'ordre judiciaire ne peut prendre part au jugement d'une affaire et doit se récuser lui-même si le mari de sa belle-soeur y est directement intéressé. Selon la jurisprudence cantonale, seul a un intérêt direct, dans une procédure, celui qui court le risque que la décision à rendre porte une atteinte immédiate à ses droits ou à la possibilité de les réaliser normalement (ATC 1969, p. 152 ss). La décision attaquée retient que (l'avocat) étant cité dans le cadre du présent litige en qualité de témoin, le jugement à rendre par le tribunal correctionnel présidé par son beau-frère (au sens large) ne l'intéressera - de toute évidence - pas directement. Il est pour le moins douteux que la solution, en l'espèce, soit aussi évidente que ne l'affirme l'autorité intimée. C'est à juste titre, semble-t-il, que le recourant se prévaut à cet égard de la connexité existant entre les diverses affaires pénales qui l'opposent à son ancien avocat. Mais la question de savoir si le tribunal correctionnel a appliqué arbitrairement l' art. 53 let. a OJ frib. peut finalement rester indécise dans le cas particulier.</w:t>
      </w:r>
    </w:p>
    <w:p>
      <w:r>
        <w:rPr>
          <w:b/>
        </w:rPr>
        <w:t>E. 3</w:t>
      </w:r>
    </w:p>
    <w:p>
      <w:r>
        <w:t>En effet, outre les dispositions cantonales sur la récusation, les art. 58 al. 1 Cst. et 6 par. 1 CEDH garantissent le droit à un juge impartial et peuvent être invoqués directement par tout justiciable. a) Selon la jurisprudence du Tribunal fédéral et de la Cour européenne des droits de l'homme, la garantie du juge naturel fait obstacle à ce que des circonstances extérieures au procès puissent influer sur le jugement d'une manière qui ne serait pas objective, en faveur ou au préjudice d'une partie: celui qui se trouve sous de telles influences ne peut être un "juste médiateur" et ne doit donc pas pouvoir fonctionner comme juge. L'impartialité peut s'apprécier selon une démarche subjective, qui conduit à déterminer ce que tel juge pensait dans son for intérieur en telle circonstance, et une démarche objective, qui consiste à rechercher si ce juge offrait des garanties suffisantes pour exclure tout doute légitime à cet égard. La démarche dite objective implique la prise en compte de considérations de caractère fonctionnel et organique, ce qui conduit à mettre l'accent sur l'importance que les apparences mêmes peuvent revêtir. Doit dès lors se récuser tout BGE 117 Ia 170 S. 174 juge dont on peut légitimement craindre un manque d'impartialité, soit sitôt qu'aux yeux des parties il y a apparence de justice partiale ( ATF 114 Ia 50 ss, ATF 112 Ia 290 ss et les nombreuses références). b) Ainsi que l'admet expressément le recourant, le comportement personnel du président (du tribunal correctionnel) n'est nullement en cause dans le cas particulier. Ce magistrat se trouverait toutefois dans des circonstances qui, objectivement, pourraient faire douter de son impartialité. Après avoir été son conseil pour la procédure de divorce, (l'avocat en question) a déposé plainte pénale contre X. pour abus de confiance, escroquerie et gestion déloyale, au nom de l'associé de celui-ci et de la société créée en commun, ce qui a valu au recourant d'être placé en détention préventive du 5 au 18 octobre 1989. Alléguant être atteint dans son honneur en raison des faits qui lui étaient reprochés dans cette dénonciation, X. a déposé à son tour une plainte pénale contre l'avocat et son (propre) associé, ce qui a déclenché une nouvelle plainte de ces derniers contre X. pour dénonciation calomnieuse et atteinte à l'honneur. Selon décision du juge d'instruction du 16 janvier 1991, ces nouvelles procédures pénales sont suspendues jusqu'à droit connu sur l'affaire d'abus de confiance, escroquerie et gestion déloyale. Il est difficile, dans ces conditions, de nier - comme semble le faire le tribunal correctionnel - l'interdépendance de toutes ces affaires. Le recourant soutient avec raison que la relation existant entre deux beaux-frères est suffisamment importante pour qu'un magistrat puisse se trouver gêné de prendre une décision susceptible d'avoir une influence sur une procédure dans laquelle le mari de la soeur de son épouse est impliqué. Ce risque est d'autant plus grand que le beau-frère en question exerce la profession d'avocat et qu'il devra lui-même répondre d'actes qui sont en relation avec la mise en détention préventive du recourant. Il y a donc lieu d'admettre, conformément à la jurisprudence exposée ci-dessus, qu'en l'espèce le président (du tribunal correctionnel) se trouve objectivement dans le cas d'un juge dont on peut légitimement craindre un manque d'impartialité et qui ne serait pas, vis-à-vis du recourant, un "authentique médiateur", auprès de qui le justiciable doit se sentir juridiquement en sécurité (cf. STEFAN TRECHSEL, Gericht und Richter nach der EMRK, cité in ATF 114 Ia 56 ). Le recours doit en conséquence être admis et l'ordonnance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